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B5" w:rsidRPr="006135B5" w:rsidRDefault="00AD0F59">
      <w:pPr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6135B5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ΓΕΩΡΓΙΑ  ΚΑΙ  ΠΡΙΒΑΛΛΟΝ: </w:t>
      </w:r>
    </w:p>
    <w:p w:rsidR="00AD0F59" w:rsidRPr="006135B5" w:rsidRDefault="006135B5">
      <w:pPr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6135B5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 </w:t>
      </w:r>
      <w:r w:rsidR="00AD0F59" w:rsidRPr="006135B5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ΜΙΑ  ΔΥΝΑΜΙΚΗ ΣΧΕΣΗ </w:t>
      </w:r>
    </w:p>
    <w:p w:rsidR="00AD0F59" w:rsidRDefault="00AD0F59" w:rsidP="00AD0F59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D0F59" w:rsidRDefault="00AD0F59" w:rsidP="00AD0F59">
      <w:pPr>
        <w:tabs>
          <w:tab w:val="left" w:pos="1290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2952750" cy="2286000"/>
            <wp:effectExtent l="19050" t="0" r="0" b="0"/>
            <wp:docPr id="1" name="il_fi" descr="http://content-mcdn.feed.gr/filesystem/images/20101116/engine/imerisia_LARGE_t_1061_32026787_type1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ntent-mcdn.feed.gr/filesystem/images/20101116/engine/imerisia_LARGE_t_1061_32026787_type11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6B" w:rsidRDefault="00A5186B" w:rsidP="00AD0F59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FD53A5" w:rsidRDefault="00AD0F59" w:rsidP="00AD0F59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Από την εποχή της πρωτόγονης γεωργίας ως τη σημερινή υπερεντατική και  πλήρως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μηχανοποιημένη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γεωργία τόσο ο άνθρωπος όσο και τα ζώα και τα φυτά που χρησιμοποίει έχουν διαγράψει μια τεράστια συν- εξελικτική πορεία.  Κατά τη διάρκεια αυτής της πορείας το περιβάλλον έπαιξε σημαντικό ρόλο στη διαμόρφωση της γεωργίας.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Πέραν όμως από την επίδραση του σε εξελικτική κλίμακα στη γεωργία, το περιβάλλον την επηρεάζει και βραχυπρόθεσμα. Για παράδειγμα, καθορίζει το είδος της γεωργίας που θα ασκηθεί (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καλλιέργεια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φυτών, κτηνοτροφία , αλιεία κ.λπ.), τα είδη και τις ποικιλίες που θα επιλεγούν για αξιοποίηση, το μέγεθος της εκμετάλλευσης , τη βιωσιμότητα και την απόδοσή της κ.λπ.   </w:t>
      </w:r>
    </w:p>
    <w:p w:rsidR="001F4443" w:rsidRDefault="00AD0F59" w:rsidP="00AD0F59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Αναλυτικότερα, τα κλιματολογικά και τα εδαφολογικά χαρακτηριστικά του τόπου καθορίζουν το είδος και την ποικιλία του φυτού που θα καλλιεργηθεί ή το είδος και την φυλή του ζώου που θα επιλεγεί για εκτροφή. Επίσης , η ύπαρξη φυσικών πόρων, όπως το νερό, η γεωθερμία , επηρεάζει την επιλογή του είδους της εκμετάλλευσης και τις μεθόδους και πρακτικές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π</w:t>
      </w:r>
      <w:r>
        <w:rPr>
          <w:rFonts w:ascii="Arial Unicode MS" w:eastAsia="Arial Unicode MS" w:hAnsi="Arial Unicode MS" w:cs="Arial Unicode MS"/>
          <w:sz w:val="28"/>
          <w:szCs w:val="28"/>
        </w:rPr>
        <w:t>ου θα ακολουθήσουν.</w:t>
      </w:r>
      <w:r w:rsidR="001F4443" w:rsidRPr="007B3C1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F4443">
        <w:rPr>
          <w:rFonts w:ascii="Arial Unicode MS" w:eastAsia="Arial Unicode MS" w:hAnsi="Arial Unicode MS" w:cs="Arial Unicode MS"/>
          <w:sz w:val="28"/>
          <w:szCs w:val="28"/>
        </w:rPr>
        <w:t>Η ύπαρξη για παράδειγμα λιμνώ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ν, υπήνεμ</w:t>
      </w:r>
      <w:r w:rsidR="008030F7">
        <w:rPr>
          <w:rFonts w:ascii="Arial Unicode MS" w:eastAsia="Arial Unicode MS" w:hAnsi="Arial Unicode MS" w:cs="Arial Unicode MS"/>
          <w:sz w:val="28"/>
          <w:szCs w:val="28"/>
        </w:rPr>
        <w:t xml:space="preserve">ων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θαλάσσιων</w:t>
      </w:r>
      <w:r w:rsidR="008030F7">
        <w:rPr>
          <w:rFonts w:ascii="Arial Unicode MS" w:eastAsia="Arial Unicode MS" w:hAnsi="Arial Unicode MS" w:cs="Arial Unicode MS"/>
          <w:sz w:val="28"/>
          <w:szCs w:val="28"/>
        </w:rPr>
        <w:t xml:space="preserve"> κολπίσκων</w:t>
      </w:r>
      <w:r w:rsidR="001F4443">
        <w:rPr>
          <w:rFonts w:ascii="Arial Unicode MS" w:eastAsia="Arial Unicode MS" w:hAnsi="Arial Unicode MS" w:cs="Arial Unicode MS"/>
          <w:sz w:val="28"/>
          <w:szCs w:val="28"/>
        </w:rPr>
        <w:t>, λιμνοθαλασσών είναι στοιχεία που λαμβάνονται υπόψη για την εγκατάσταση σταθμών ιχθυοκαλλιέργ</w:t>
      </w:r>
      <w:r w:rsidR="008030F7">
        <w:rPr>
          <w:rFonts w:ascii="Arial Unicode MS" w:eastAsia="Arial Unicode MS" w:hAnsi="Arial Unicode MS" w:cs="Arial Unicode MS"/>
          <w:sz w:val="28"/>
          <w:szCs w:val="28"/>
        </w:rPr>
        <w:t>ε</w:t>
      </w:r>
      <w:r w:rsidR="001F4443">
        <w:rPr>
          <w:rFonts w:ascii="Arial Unicode MS" w:eastAsia="Arial Unicode MS" w:hAnsi="Arial Unicode MS" w:cs="Arial Unicode MS"/>
          <w:sz w:val="28"/>
          <w:szCs w:val="28"/>
        </w:rPr>
        <w:t>ιας.</w:t>
      </w:r>
    </w:p>
    <w:p w:rsidR="007C0DB4" w:rsidRDefault="001F4443" w:rsidP="001F4443">
      <w:pPr>
        <w:tabs>
          <w:tab w:val="left" w:pos="106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3048000" cy="3638550"/>
            <wp:effectExtent l="19050" t="0" r="0" b="0"/>
            <wp:docPr id="2" name="il_fi" descr="http://www.paseges.gr/content-api/paseges/contentObject/58ef3913-0061-4077-93df-27081f585dda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seges.gr/content-api/paseges/contentObject/58ef3913-0061-4077-93df-27081f585dda/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F7" w:rsidRDefault="008030F7" w:rsidP="007C0DB4">
      <w:pPr>
        <w:tabs>
          <w:tab w:val="left" w:pos="174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Εικόνα 1 : </w:t>
      </w:r>
      <w:r w:rsidR="007B3C15">
        <w:rPr>
          <w:rFonts w:ascii="Arial Unicode MS" w:eastAsia="Arial Unicode MS" w:hAnsi="Arial Unicode MS" w:cs="Arial Unicode MS"/>
          <w:sz w:val="20"/>
          <w:szCs w:val="20"/>
        </w:rPr>
        <w:t>Ιχθυοκαλλιέργειες</w:t>
      </w:r>
      <w:r w:rsidR="007C0DB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8030F7" w:rsidRPr="008030F7" w:rsidRDefault="008030F7" w:rsidP="008030F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8030F7" w:rsidRDefault="008030F7" w:rsidP="007B3C1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Επιπλέον οι έντονες βροχοπτώσεις και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οι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πλημμύρες μπορούν να αποβούν καταστρεπτικές  για τις καλλιέργειες(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βαμβάκι</w:t>
      </w:r>
      <w:r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σιτάρι,..)για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ιχθυοκαλλιεργητικές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μονάδες σε ποταμούς, κτηνοτροφικές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εκμεταλλεύσεις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6135B5" w:rsidRDefault="008030F7" w:rsidP="00B779E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Ωστόσο, καθώς η σχέση περιβάλλοντος και γεωργίας είναι δυναμική, η γεωργία με τη σειρά της επηρεάζει το περιβάλλον σε μικρότερο ή μεγαλύτερο βαθμό. Η επίδραση αυτή μπορεί να είναι μικρής ή μεγάλης κλίμακας. Μικρής κλίμακας μπορεί να είναι μια καταστροφή του περιβάλλοντος λιγότερο ή περισσότερο τοπικού χαρακτήρα  ή μια τοπική ρύπανση. Μεγάλης κλίμακας επίδραση της γεωργίας στο περιβάλλον μπορούν να προκληθούν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 xml:space="preserve">από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γεωργικές πρακτικές οι οποίες εντείνουν το φαινόμενο του θερμοκηπίου.   </w:t>
      </w:r>
    </w:p>
    <w:p w:rsidR="006135B5" w:rsidRPr="006135B5" w:rsidRDefault="006135B5" w:rsidP="006135B5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6135B5" w:rsidRDefault="006135B5" w:rsidP="006135B5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6135B5" w:rsidRDefault="006135B5" w:rsidP="006135B5">
      <w:pPr>
        <w:ind w:firstLine="720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6135B5" w:rsidRDefault="006135B5" w:rsidP="006135B5">
      <w:pPr>
        <w:ind w:firstLine="720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6135B5" w:rsidRDefault="006135B5" w:rsidP="006135B5">
      <w:pPr>
        <w:ind w:firstLine="720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6135B5" w:rsidRDefault="006135B5" w:rsidP="006135B5">
      <w:pPr>
        <w:ind w:firstLine="720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6135B5" w:rsidRDefault="006135B5" w:rsidP="006135B5">
      <w:pPr>
        <w:ind w:firstLine="720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6135B5" w:rsidRDefault="006135B5" w:rsidP="006135B5">
      <w:pPr>
        <w:ind w:firstLine="720"/>
        <w:jc w:val="both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6135B5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lastRenderedPageBreak/>
        <w:t>ΠΑΡΑΔΟΣΙΑΚΗ ΓΕΩΡΓΙΑ</w:t>
      </w:r>
    </w:p>
    <w:p w:rsidR="007B3C15" w:rsidRDefault="006135B5" w:rsidP="006135B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Η μορφή αυτής της γεωργίας εφαρμόζεται περίπου στο 60% των καλλιεργούμενων  εκτάσεων της γης. Χαρακτηρίζεται από την αξιοποίηση των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υπαρχόντων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φυσικών πόρων και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πολυκαλλιέργεια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, χωρίς μηχανοποίηση και χρήση αγροχημικών. Είναι μια μορφή οικολογικής γεωργίας η οποία εφαρμόζεται παραδοσιακά. Η παραδοσιακή γεωργία σε μερικές περιπτώσεις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συνδυάζει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αρμονικά και συμπληρωματικά την φυτική </w:t>
      </w:r>
      <w:r w:rsidR="007B3C15">
        <w:rPr>
          <w:rFonts w:ascii="Arial Unicode MS" w:eastAsia="Arial Unicode MS" w:hAnsi="Arial Unicode MS" w:cs="Arial Unicode MS"/>
          <w:sz w:val="28"/>
          <w:szCs w:val="28"/>
        </w:rPr>
        <w:t>παραγωγή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με την κτηνοτροφική εκμετάλλευση. </w:t>
      </w:r>
    </w:p>
    <w:p w:rsidR="007B3C15" w:rsidRDefault="007B3C15" w:rsidP="007B3C15">
      <w:pPr>
        <w:tabs>
          <w:tab w:val="left" w:pos="1095"/>
          <w:tab w:val="left" w:pos="1920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el-GR"/>
        </w:rPr>
        <w:drawing>
          <wp:inline distT="0" distB="0" distL="0" distR="0">
            <wp:extent cx="2038350" cy="2247900"/>
            <wp:effectExtent l="19050" t="0" r="0" b="0"/>
            <wp:docPr id="4" name="rg_hi" descr="http://t1.gstatic.com/images?q=tbn:ANd9GcTc83sUZL0oTCUnFgIWuIESOMxaN_-Kc_VOTi_Y8sCruS4nmhW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c83sUZL0oTCUnFgIWuIESOMxaN_-Kc_VOTi_Y8sCruS4nmhW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el-GR"/>
        </w:rPr>
        <w:drawing>
          <wp:inline distT="0" distB="0" distL="0" distR="0">
            <wp:extent cx="2038350" cy="2247900"/>
            <wp:effectExtent l="19050" t="0" r="0" b="0"/>
            <wp:docPr id="3" name="rg_hi" descr="http://t1.gstatic.com/images?q=tbn:ANd9GcTc83sUZL0oTCUnFgIWuIESOMxaN_-Kc_VOTi_Y8sCruS4nmhW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c83sUZL0oTCUnFgIWuIESOMxaN_-Kc_VOTi_Y8sCruS4nmhW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3124200" cy="3438525"/>
            <wp:effectExtent l="19050" t="0" r="0" b="0"/>
            <wp:docPr id="7" name="il_fi" descr="http://www.biopowerlanka.com/1far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powerlanka.com/1farm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15" w:rsidRDefault="007B3C15" w:rsidP="007B3C15">
      <w:pPr>
        <w:tabs>
          <w:tab w:val="left" w:pos="237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Εικόνα 1. Οικολογική ή παραδοσιακή γεωργία.</w:t>
      </w:r>
    </w:p>
    <w:p w:rsidR="007B3C15" w:rsidRPr="007B3C15" w:rsidRDefault="007B3C15" w:rsidP="007B3C15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0749B8" w:rsidRDefault="007B3C15" w:rsidP="007B3C15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Γενικά οι επιπτώσεις στο περιβάλλον από την άσκηση της παραδοσιακής γεωργίας είναι μεν υπαρκτές, αλλά δεν είναι πάρα πολύ σημαντικές καθώς τόσο το </w:t>
      </w:r>
      <w:r w:rsidRPr="007B3C15">
        <w:rPr>
          <w:rFonts w:ascii="Arial Unicode MS" w:eastAsia="Arial Unicode MS" w:hAnsi="Arial Unicode MS" w:cs="Arial Unicode MS"/>
          <w:b/>
          <w:sz w:val="28"/>
          <w:szCs w:val="28"/>
        </w:rPr>
        <w:t>μέγεθος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όσο και </w:t>
      </w:r>
      <w:r w:rsidRPr="007B3C15">
        <w:rPr>
          <w:rFonts w:ascii="Arial Unicode MS" w:eastAsia="Arial Unicode MS" w:hAnsi="Arial Unicode MS" w:cs="Arial Unicode MS"/>
          <w:b/>
          <w:sz w:val="28"/>
          <w:szCs w:val="28"/>
        </w:rPr>
        <w:t>ο ρυθμός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της επιβάρυνσης  είναι μικροί. Και  μέσα στις δυνατότητες της φύσης είναι να απορροφήσει και να ανταπεξέλθει στις διαταραχές που προκαλούν.  </w:t>
      </w:r>
    </w:p>
    <w:p w:rsidR="000749B8" w:rsidRDefault="000749B8" w:rsidP="000749B8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0749B8" w:rsidRDefault="000749B8" w:rsidP="000749B8">
      <w:pPr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0749B8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ΕΝΤΑΤΙΚΟΠΟΙΗΜΕΝΗ ΓΕΩΡΓΙΑ</w:t>
      </w:r>
    </w:p>
    <w:p w:rsidR="000749B8" w:rsidRPr="000749B8" w:rsidRDefault="000749B8" w:rsidP="000749B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0749B8">
        <w:rPr>
          <w:rFonts w:ascii="Arial Unicode MS" w:eastAsia="Arial Unicode MS" w:hAnsi="Arial Unicode MS" w:cs="Arial Unicode MS"/>
          <w:b/>
          <w:sz w:val="28"/>
          <w:szCs w:val="28"/>
        </w:rPr>
        <w:t xml:space="preserve">Η εντατικοποιημένη γεωργία ή εντατική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είναι αποτέλεσμα των τεχνολογικών επιτευγμάτων των δεκαετιών του 40 και του 50. Χαρακτηρίζεται από μονοκαλλιέργεια ή ολιγοκαλλιέργεια , πλήρη εκμηχάνιση των γεωργικών εκμεταλλεύσεων, ληστρική εκμετάλλευση των φυσικών πόρων, αλόγιστη χρήση αγροχημικών ουσιών, χρήση απαιτητικών ποικιλιών φυτών και φυλών ζώων.</w:t>
      </w:r>
    </w:p>
    <w:p w:rsidR="00EB622C" w:rsidRDefault="00EB622C" w:rsidP="000749B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Trebuchet MS" w:hAnsi="Trebuchet MS"/>
          <w:noProof/>
          <w:sz w:val="20"/>
          <w:szCs w:val="20"/>
          <w:lang w:eastAsia="el-GR"/>
        </w:rPr>
        <w:drawing>
          <wp:inline distT="0" distB="0" distL="0" distR="0">
            <wp:extent cx="3257550" cy="2276475"/>
            <wp:effectExtent l="19050" t="0" r="0" b="0"/>
            <wp:docPr id="10" name="Εικόνα 10" descr="http://www.unibas.it/desertnet/dis4me/images/photos/issues/economic_activity/metapontino_small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ibas.it/desertnet/dis4me/images/photos/issues/economic_activity/metapontino_small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12" w:rsidRDefault="00EB622C" w:rsidP="00EB622C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Εικόνα 1.Εντατική γεωργία. </w:t>
      </w:r>
    </w:p>
    <w:p w:rsidR="005F4312" w:rsidRDefault="005F4312" w:rsidP="005F4312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5F4312" w:rsidRDefault="005F4312" w:rsidP="005F4312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D0F59" w:rsidRDefault="005F4312" w:rsidP="00B779E0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Οι σημαντικότερες περιβαλλοντικές συνέπειες είναι :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Καταστροφή του τοπίου και των βοσκοτόπων 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Ρύπανση με φυτοφάρμακα και νιτρορύπανση του υδροφόρου  ορίζοντα.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Εμφάνιση ανθεκτικότητας των παθογόνων κα ι παρασίτων στα βιοκτόνα και εμφάνιση των λεγόμενων αναδυόμενων  ασθενειών.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Καταστροφή βιοποικιλότητας 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Δημιουργία τεράστιων ποσοτήτων αποβλήτων.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Υποβάθμιση του εδάφους- διάβρωση.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Διαταραχή των βιογεωχημικών κύκλων .</w:t>
      </w:r>
    </w:p>
    <w:p w:rsid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Εγκατάλειψη παραδοσιακών ποικιλιών.</w:t>
      </w:r>
    </w:p>
    <w:p w:rsidR="005F4312" w:rsidRPr="005F4312" w:rsidRDefault="005F4312" w:rsidP="00B779E0">
      <w:pPr>
        <w:pStyle w:val="a4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Υποβάθμιση της ποιότητας των παραγόμενων προϊόντων.     </w:t>
      </w:r>
    </w:p>
    <w:p w:rsidR="005F4312" w:rsidRPr="005F4312" w:rsidRDefault="005F4312" w:rsidP="00B779E0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Όλες αυτές  οι αρνητικές συνέπειες άρχισαν να απασχολούν σοβαρά κυρίως τους οικολόγους.   </w:t>
      </w:r>
    </w:p>
    <w:sectPr w:rsidR="005F4312" w:rsidRPr="005F4312" w:rsidSect="00FD5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1FF"/>
    <w:multiLevelType w:val="hybridMultilevel"/>
    <w:tmpl w:val="25942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F59"/>
    <w:rsid w:val="000749B8"/>
    <w:rsid w:val="000B326C"/>
    <w:rsid w:val="001F4443"/>
    <w:rsid w:val="005F4312"/>
    <w:rsid w:val="006135B5"/>
    <w:rsid w:val="006B40DA"/>
    <w:rsid w:val="007B3C15"/>
    <w:rsid w:val="007C0DB4"/>
    <w:rsid w:val="008030F7"/>
    <w:rsid w:val="009C6F02"/>
    <w:rsid w:val="00A5186B"/>
    <w:rsid w:val="00AD0F59"/>
    <w:rsid w:val="00B779E0"/>
    <w:rsid w:val="00EB62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F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imgres?imgurl=http://www.biopowerlanka.com/1farming.jpg&amp;imgrefurl=http://newsport.gr/index.php%3Foption%3Dcom_content%26view%3Darticle%26id%3D6882%253A2011-03-10-04-53-29%26catid%3D27%253A2011-01-07-22-13-46%26Itemid%3D7&amp;usg=__uhyzEmJ93cfJ--5NgFQNgC0Dzh8=&amp;h=361&amp;w=328&amp;sz=35&amp;hl=el&amp;start=6&amp;zoom=1&amp;tbnid=YqKlBeDbRsJgvM:&amp;tbnh=121&amp;tbnw=110&amp;ei=pNelTeTLEI6q8AOek-i4Dw&amp;prev=/search%3Fq%3D%25CE%25BF%25CE%25B9%25CE%25BA%25CE%25BF%25CE%25BB%25CE%25BF%25CE%25B3%25CE%25B9%25CE%25BA%25CE%25AE%2B%25CE%25B3%25CE%25B5%25CF%2589%25CF%2581%25CE%25B3%25CE%25AF%25CE%25B1%26um%3D1%26hl%3Del%26sa%3DN%26biw%3D1003%26bih%3D598%26tbm%3Disch&amp;um=1&amp;itbs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nibas.it/desertnet/dis4me/images/photos/issues/economic_activity/metapontin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2857-6BD9-4DE3-9A8B-9F89AFAE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595</Words>
  <Characters>3219</Characters>
  <Application>Microsoft Office Word</Application>
  <DocSecurity>0</DocSecurity>
  <Lines>26</Lines>
  <Paragraphs>7</Paragraphs>
  <ScaleCrop>false</ScaleCrop>
  <Company>Internet Cafe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12</cp:revision>
  <dcterms:created xsi:type="dcterms:W3CDTF">2011-04-12T11:26:00Z</dcterms:created>
  <dcterms:modified xsi:type="dcterms:W3CDTF">2011-04-13T17:19:00Z</dcterms:modified>
</cp:coreProperties>
</file>